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4FC" w:rsidRDefault="00A304FC" w:rsidP="00A304FC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A304FC" w:rsidRDefault="00A304FC" w:rsidP="00A304FC">
      <w:pPr>
        <w:jc w:val="center"/>
        <w:rPr>
          <w:rFonts w:ascii="Times New Roman" w:hAnsi="Times New Roman" w:cs="Times New Roman"/>
        </w:rPr>
      </w:pPr>
    </w:p>
    <w:p w:rsidR="00A304FC" w:rsidRDefault="00A304FC" w:rsidP="00A304FC">
      <w:pPr>
        <w:jc w:val="center"/>
        <w:rPr>
          <w:rFonts w:ascii="Times New Roman" w:hAnsi="Times New Roman" w:cs="Times New Roman"/>
        </w:rPr>
      </w:pPr>
    </w:p>
    <w:p w:rsidR="00A304FC" w:rsidRDefault="00A304FC" w:rsidP="00A304FC">
      <w:pPr>
        <w:jc w:val="center"/>
        <w:rPr>
          <w:rFonts w:ascii="Times New Roman" w:hAnsi="Times New Roman" w:cs="Times New Roman"/>
        </w:rPr>
      </w:pPr>
    </w:p>
    <w:p w:rsidR="00A304FC" w:rsidRDefault="00A304FC" w:rsidP="00A304FC">
      <w:pPr>
        <w:jc w:val="center"/>
        <w:rPr>
          <w:rFonts w:ascii="Times New Roman" w:hAnsi="Times New Roman" w:cs="Times New Roman"/>
        </w:rPr>
      </w:pPr>
    </w:p>
    <w:p w:rsidR="000F40F7" w:rsidRPr="000F40F7" w:rsidRDefault="00A304FC" w:rsidP="00A304FC">
      <w:pPr>
        <w:jc w:val="center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inline distT="0" distB="0" distL="0" distR="0" wp14:anchorId="3A00A4FB" wp14:editId="45C602DB">
            <wp:extent cx="6295453" cy="7885215"/>
            <wp:effectExtent l="19050" t="19050" r="10160" b="209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481" t="14430" r="58659" b="4440"/>
                    <a:stretch/>
                  </pic:blipFill>
                  <pic:spPr bwMode="auto">
                    <a:xfrm>
                      <a:off x="0" y="0"/>
                      <a:ext cx="6331476" cy="7930335"/>
                    </a:xfrm>
                    <a:prstGeom prst="rect">
                      <a:avLst/>
                    </a:prstGeom>
                    <a:ln w="12700">
                      <a:solidFill>
                        <a:srgbClr val="7067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40F7" w:rsidRPr="000F40F7">
        <w:rPr>
          <w:rFonts w:ascii="Times New Roman" w:hAnsi="Times New Roman" w:cs="Times New Roman"/>
        </w:rPr>
        <w:br w:type="page"/>
      </w:r>
    </w:p>
    <w:p w:rsidR="00752801" w:rsidRPr="000F40F7" w:rsidRDefault="003A0D7B" w:rsidP="00EA1156">
      <w:pPr>
        <w:jc w:val="center"/>
        <w:rPr>
          <w:rFonts w:ascii="Times New Roman" w:hAnsi="Times New Roman" w:cs="Times New Roman"/>
        </w:rPr>
      </w:pPr>
      <w:r w:rsidRPr="000F40F7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C1A890" wp14:editId="0C6C78DA">
                <wp:simplePos x="0" y="0"/>
                <wp:positionH relativeFrom="column">
                  <wp:posOffset>1232564</wp:posOffset>
                </wp:positionH>
                <wp:positionV relativeFrom="paragraph">
                  <wp:posOffset>-54418</wp:posOffset>
                </wp:positionV>
                <wp:extent cx="1828800" cy="1828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1156" w:rsidRPr="000F40F7" w:rsidRDefault="00EA1156" w:rsidP="00EA11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494BC"/>
                                <w:sz w:val="72"/>
                                <w:szCs w:val="30"/>
                              </w:rPr>
                            </w:pPr>
                            <w:r w:rsidRPr="000F40F7">
                              <w:rPr>
                                <w:rFonts w:ascii="Times New Roman" w:hAnsi="Times New Roman" w:cs="Times New Roman"/>
                                <w:b/>
                                <w:color w:val="1494BC"/>
                                <w:sz w:val="72"/>
                                <w:szCs w:val="30"/>
                              </w:rPr>
                              <w:t>Colloque du PRDH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C1A89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97.05pt;margin-top:-4.3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" filled="f" stroked="f">
                <v:textbox style="mso-fit-shape-to-text:t">
                  <w:txbxContent>
                    <w:p w:rsidR="00EA1156" w:rsidRPr="000F40F7" w:rsidRDefault="00EA1156" w:rsidP="00EA11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494BC"/>
                          <w:sz w:val="72"/>
                          <w:szCs w:val="30"/>
                        </w:rPr>
                      </w:pPr>
                      <w:r w:rsidRPr="000F40F7">
                        <w:rPr>
                          <w:rFonts w:ascii="Times New Roman" w:hAnsi="Times New Roman" w:cs="Times New Roman"/>
                          <w:b/>
                          <w:color w:val="1494BC"/>
                          <w:sz w:val="72"/>
                          <w:szCs w:val="30"/>
                        </w:rPr>
                        <w:t>Colloque du PRDH</w:t>
                      </w:r>
                    </w:p>
                  </w:txbxContent>
                </v:textbox>
              </v:shape>
            </w:pict>
          </mc:Fallback>
        </mc:AlternateContent>
      </w:r>
    </w:p>
    <w:p w:rsidR="00752801" w:rsidRPr="000F40F7" w:rsidRDefault="00752801">
      <w:pPr>
        <w:rPr>
          <w:rFonts w:ascii="Times New Roman" w:hAnsi="Times New Roman" w:cs="Times New Roman"/>
        </w:rPr>
      </w:pPr>
    </w:p>
    <w:p w:rsidR="00EA1156" w:rsidRPr="000F40F7" w:rsidRDefault="00EA1156">
      <w:pPr>
        <w:rPr>
          <w:rFonts w:ascii="Times New Roman" w:hAnsi="Times New Roman" w:cs="Times New Roman"/>
        </w:rPr>
      </w:pPr>
    </w:p>
    <w:p w:rsidR="00EA1156" w:rsidRPr="000F40F7" w:rsidRDefault="00EA1156">
      <w:pPr>
        <w:rPr>
          <w:rFonts w:ascii="Times New Roman" w:hAnsi="Times New Roman" w:cs="Times New Roman"/>
        </w:rPr>
      </w:pPr>
    </w:p>
    <w:p w:rsidR="00EA1156" w:rsidRPr="000F40F7" w:rsidRDefault="00EA1156" w:rsidP="00EA1156">
      <w:pPr>
        <w:jc w:val="center"/>
        <w:rPr>
          <w:rFonts w:ascii="Times New Roman" w:hAnsi="Times New Roman" w:cs="Times New Roman"/>
          <w:sz w:val="32"/>
          <w:szCs w:val="32"/>
        </w:rPr>
      </w:pPr>
      <w:r w:rsidRPr="000F40F7">
        <w:rPr>
          <w:rFonts w:ascii="Times New Roman" w:hAnsi="Times New Roman" w:cs="Times New Roman"/>
          <w:sz w:val="32"/>
          <w:szCs w:val="32"/>
        </w:rPr>
        <w:t>13 et 14 mai 2017</w:t>
      </w:r>
    </w:p>
    <w:p w:rsidR="00EA1156" w:rsidRPr="000F40F7" w:rsidRDefault="00EA1156" w:rsidP="00EA115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A1156" w:rsidRPr="000F40F7" w:rsidRDefault="000F40F7" w:rsidP="000F40F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F40F7">
        <w:rPr>
          <w:rFonts w:ascii="Times New Roman" w:hAnsi="Times New Roman" w:cs="Times New Roman"/>
          <w:b/>
          <w:i/>
          <w:sz w:val="32"/>
          <w:szCs w:val="32"/>
        </w:rPr>
        <w:t>Programme Préliminaire</w:t>
      </w:r>
    </w:p>
    <w:p w:rsidR="000F40F7" w:rsidRPr="000F40F7" w:rsidRDefault="000F40F7" w:rsidP="00EA1156">
      <w:pPr>
        <w:rPr>
          <w:rFonts w:ascii="Times New Roman" w:hAnsi="Times New Roman" w:cs="Times New Roman"/>
          <w:sz w:val="32"/>
          <w:szCs w:val="32"/>
        </w:rPr>
      </w:pPr>
    </w:p>
    <w:p w:rsidR="00EA1156" w:rsidRDefault="00EA1156" w:rsidP="0031294F">
      <w:pPr>
        <w:rPr>
          <w:rFonts w:ascii="Times New Roman" w:hAnsi="Times New Roman" w:cs="Times New Roman"/>
          <w:sz w:val="32"/>
          <w:szCs w:val="32"/>
        </w:rPr>
      </w:pPr>
      <w:r w:rsidRPr="000F40F7">
        <w:rPr>
          <w:rFonts w:ascii="Times New Roman" w:hAnsi="Times New Roman" w:cs="Times New Roman"/>
          <w:sz w:val="32"/>
          <w:szCs w:val="32"/>
        </w:rPr>
        <w:t>Samedi 13 mai</w:t>
      </w:r>
    </w:p>
    <w:p w:rsidR="0031294F" w:rsidRPr="000F40F7" w:rsidRDefault="0031294F" w:rsidP="00EA1156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EA1156" w:rsidRPr="000F40F7" w:rsidRDefault="00EA1156" w:rsidP="00EA1156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08h</w:t>
      </w:r>
      <w:r w:rsidR="00FE3B2F" w:rsidRPr="000F40F7">
        <w:rPr>
          <w:rFonts w:ascii="Times New Roman" w:hAnsi="Times New Roman" w:cs="Times New Roman"/>
          <w:sz w:val="24"/>
          <w:szCs w:val="24"/>
        </w:rPr>
        <w:t>30</w:t>
      </w:r>
      <w:r w:rsidRPr="000F40F7">
        <w:rPr>
          <w:rFonts w:ascii="Times New Roman" w:hAnsi="Times New Roman" w:cs="Times New Roman"/>
          <w:sz w:val="24"/>
          <w:szCs w:val="24"/>
        </w:rPr>
        <w:tab/>
        <w:t>Accueil, café et muffins</w:t>
      </w:r>
    </w:p>
    <w:p w:rsidR="00EA1156" w:rsidRPr="000F40F7" w:rsidRDefault="00584B5B" w:rsidP="00EA1156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8h45</w:t>
      </w:r>
      <w:r w:rsidR="00EA1156" w:rsidRPr="000F40F7">
        <w:rPr>
          <w:rFonts w:ascii="Times New Roman" w:hAnsi="Times New Roman" w:cs="Times New Roman"/>
          <w:sz w:val="24"/>
          <w:szCs w:val="24"/>
        </w:rPr>
        <w:tab/>
        <w:t>Mot de bienvenue par Lisa Dillon</w:t>
      </w:r>
    </w:p>
    <w:p w:rsidR="009158FF" w:rsidRPr="000F40F7" w:rsidRDefault="009158FF" w:rsidP="009158FF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C02ACF" w:rsidRPr="000F40F7" w:rsidRDefault="009158FF" w:rsidP="009158FF">
      <w:pPr>
        <w:tabs>
          <w:tab w:val="left" w:pos="990"/>
          <w:tab w:val="left" w:pos="1260"/>
        </w:tabs>
        <w:ind w:left="1260" w:hanging="126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9h00</w:t>
      </w:r>
      <w:r w:rsidRPr="000F40F7">
        <w:rPr>
          <w:rFonts w:ascii="Times New Roman" w:hAnsi="Times New Roman" w:cs="Times New Roman"/>
          <w:sz w:val="24"/>
          <w:szCs w:val="24"/>
        </w:rPr>
        <w:tab/>
      </w:r>
      <w:r w:rsidRPr="000F40F7">
        <w:rPr>
          <w:rFonts w:ascii="Times New Roman" w:hAnsi="Times New Roman" w:cs="Times New Roman"/>
          <w:sz w:val="24"/>
          <w:szCs w:val="24"/>
        </w:rPr>
        <w:tab/>
      </w:r>
      <w:r w:rsidR="00C02ACF" w:rsidRPr="000F40F7">
        <w:rPr>
          <w:rFonts w:ascii="Times New Roman" w:hAnsi="Times New Roman" w:cs="Times New Roman"/>
          <w:b/>
          <w:color w:val="1494BC"/>
          <w:sz w:val="30"/>
          <w:szCs w:val="30"/>
        </w:rPr>
        <w:t>Séance d’ouverture</w:t>
      </w:r>
      <w:r w:rsidR="00C02ACF" w:rsidRPr="000F40F7">
        <w:rPr>
          <w:rFonts w:ascii="Times New Roman" w:hAnsi="Times New Roman" w:cs="Times New Roman"/>
          <w:color w:val="1494BC"/>
          <w:sz w:val="30"/>
          <w:szCs w:val="30"/>
        </w:rPr>
        <w:t> </w:t>
      </w:r>
      <w:r w:rsidR="00C02ACF" w:rsidRPr="000F40F7">
        <w:rPr>
          <w:rFonts w:ascii="Times New Roman" w:hAnsi="Times New Roman" w:cs="Times New Roman"/>
          <w:color w:val="7030A0"/>
          <w:sz w:val="30"/>
          <w:szCs w:val="30"/>
        </w:rPr>
        <w:t>:</w:t>
      </w:r>
      <w:r w:rsidR="00C02ACF" w:rsidRPr="000F40F7">
        <w:rPr>
          <w:rFonts w:ascii="Times New Roman" w:hAnsi="Times New Roman" w:cs="Times New Roman"/>
          <w:sz w:val="24"/>
          <w:szCs w:val="24"/>
        </w:rPr>
        <w:t xml:space="preserve"> </w:t>
      </w:r>
      <w:r w:rsidRPr="000F40F7">
        <w:rPr>
          <w:rFonts w:ascii="Times New Roman" w:hAnsi="Times New Roman" w:cs="Times New Roman"/>
          <w:sz w:val="24"/>
          <w:szCs w:val="24"/>
        </w:rPr>
        <w:t xml:space="preserve">Antoinette Fauve-Chamoux: </w:t>
      </w:r>
    </w:p>
    <w:p w:rsidR="009158FF" w:rsidRPr="000F40F7" w:rsidRDefault="00C02ACF" w:rsidP="009158FF">
      <w:pPr>
        <w:tabs>
          <w:tab w:val="left" w:pos="990"/>
          <w:tab w:val="left" w:pos="1260"/>
        </w:tabs>
        <w:ind w:left="1260" w:hanging="126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ab/>
      </w:r>
      <w:r w:rsidRPr="000F40F7">
        <w:rPr>
          <w:rFonts w:ascii="Times New Roman" w:hAnsi="Times New Roman" w:cs="Times New Roman"/>
          <w:sz w:val="24"/>
          <w:szCs w:val="24"/>
        </w:rPr>
        <w:tab/>
      </w:r>
      <w:r w:rsidR="009158FF" w:rsidRPr="000F40F7">
        <w:rPr>
          <w:rFonts w:ascii="Times New Roman" w:hAnsi="Times New Roman" w:cs="Times New Roman"/>
          <w:sz w:val="24"/>
          <w:szCs w:val="24"/>
        </w:rPr>
        <w:t>"Pour une démographie historique globale encore plus pédagogique"</w:t>
      </w:r>
    </w:p>
    <w:p w:rsidR="009158FF" w:rsidRPr="000F40F7" w:rsidRDefault="009158FF" w:rsidP="00EA1156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EA1156" w:rsidRPr="000F40F7" w:rsidRDefault="00584B5B" w:rsidP="00EA1156">
      <w:pPr>
        <w:tabs>
          <w:tab w:val="left" w:pos="1260"/>
        </w:tabs>
        <w:rPr>
          <w:rFonts w:ascii="Times New Roman" w:hAnsi="Times New Roman" w:cs="Times New Roman"/>
          <w:color w:val="1494BC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9h45</w:t>
      </w:r>
      <w:r w:rsidR="009D71BD" w:rsidRPr="000F40F7">
        <w:rPr>
          <w:rFonts w:ascii="Times New Roman" w:hAnsi="Times New Roman" w:cs="Times New Roman"/>
          <w:sz w:val="24"/>
          <w:szCs w:val="24"/>
        </w:rPr>
        <w:tab/>
      </w:r>
      <w:r w:rsidR="00EA1156" w:rsidRPr="000F40F7">
        <w:rPr>
          <w:rFonts w:ascii="Times New Roman" w:hAnsi="Times New Roman" w:cs="Times New Roman"/>
          <w:b/>
          <w:color w:val="1494BC"/>
          <w:sz w:val="30"/>
          <w:szCs w:val="30"/>
        </w:rPr>
        <w:t>Les familles, les trajectoires et les destins</w:t>
      </w:r>
    </w:p>
    <w:p w:rsidR="00A304FC" w:rsidRPr="00A304FC" w:rsidRDefault="00A304FC" w:rsidP="00A304FC">
      <w:pPr>
        <w:tabs>
          <w:tab w:val="left" w:pos="990"/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Président :  Bertrand Desjardins</w:t>
      </w:r>
    </w:p>
    <w:p w:rsidR="00584B5B" w:rsidRPr="000F40F7" w:rsidRDefault="00584B5B" w:rsidP="009D71BD">
      <w:pPr>
        <w:pStyle w:val="ListParagraph"/>
        <w:numPr>
          <w:ilvl w:val="1"/>
          <w:numId w:val="2"/>
        </w:numPr>
        <w:tabs>
          <w:tab w:val="left" w:pos="990"/>
          <w:tab w:val="left" w:pos="1260"/>
        </w:tabs>
        <w:ind w:left="1644" w:hanging="34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Thomas Wien: "Le voyage transatlantique de la fiche de famille"</w:t>
      </w:r>
    </w:p>
    <w:p w:rsidR="00EA1156" w:rsidRPr="000F40F7" w:rsidRDefault="00220B07" w:rsidP="00584B5B">
      <w:pPr>
        <w:pStyle w:val="ListParagraph"/>
        <w:numPr>
          <w:ilvl w:val="1"/>
          <w:numId w:val="2"/>
        </w:numPr>
        <w:tabs>
          <w:tab w:val="left" w:pos="990"/>
          <w:tab w:val="left" w:pos="1260"/>
        </w:tabs>
        <w:ind w:left="1644" w:hanging="34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 xml:space="preserve">Louise Lainesse: </w:t>
      </w:r>
      <w:r w:rsidR="00225D6A" w:rsidRPr="000F40F7">
        <w:rPr>
          <w:rFonts w:ascii="Times New Roman" w:hAnsi="Times New Roman" w:cs="Times New Roman"/>
          <w:sz w:val="24"/>
          <w:szCs w:val="24"/>
        </w:rPr>
        <w:t>"</w:t>
      </w:r>
      <w:r w:rsidR="00EA1156" w:rsidRPr="000F40F7">
        <w:rPr>
          <w:rFonts w:ascii="Times New Roman" w:hAnsi="Times New Roman" w:cs="Times New Roman"/>
          <w:sz w:val="24"/>
          <w:szCs w:val="24"/>
        </w:rPr>
        <w:t>Le PRDH: un outil essentiel pour l'étude de la viduité féminine à l'</w:t>
      </w:r>
      <w:r w:rsidRPr="000F40F7">
        <w:rPr>
          <w:rFonts w:ascii="Times New Roman" w:hAnsi="Times New Roman" w:cs="Times New Roman"/>
          <w:sz w:val="24"/>
          <w:szCs w:val="24"/>
        </w:rPr>
        <w:t>heure de la Conquête, 1753-1760</w:t>
      </w:r>
      <w:r w:rsidR="00225D6A" w:rsidRPr="000F40F7">
        <w:rPr>
          <w:rFonts w:ascii="Times New Roman" w:hAnsi="Times New Roman" w:cs="Times New Roman"/>
          <w:sz w:val="24"/>
          <w:szCs w:val="24"/>
        </w:rPr>
        <w:t>"</w:t>
      </w:r>
    </w:p>
    <w:p w:rsidR="00EA1156" w:rsidRPr="000F40F7" w:rsidRDefault="00EA1156" w:rsidP="009D71BD">
      <w:pPr>
        <w:pStyle w:val="ListParagraph"/>
        <w:numPr>
          <w:ilvl w:val="1"/>
          <w:numId w:val="2"/>
        </w:numPr>
        <w:tabs>
          <w:tab w:val="left" w:pos="990"/>
          <w:tab w:val="left" w:pos="1260"/>
        </w:tabs>
        <w:ind w:left="1644" w:hanging="34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Michel Oris: "Les familles en opposition: une discussion des destins des familles au 19</w:t>
      </w:r>
      <w:r w:rsidRPr="000F40F7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Pr="000F40F7">
        <w:rPr>
          <w:rFonts w:ascii="Times New Roman" w:hAnsi="Times New Roman" w:cs="Times New Roman"/>
          <w:sz w:val="24"/>
          <w:szCs w:val="24"/>
        </w:rPr>
        <w:t xml:space="preserve"> siècle (Genève et l'est de la Belgique)"</w:t>
      </w:r>
    </w:p>
    <w:p w:rsidR="00EA1156" w:rsidRPr="000F40F7" w:rsidRDefault="00EA1156" w:rsidP="009D71BD">
      <w:pPr>
        <w:pStyle w:val="ListParagraph"/>
        <w:numPr>
          <w:ilvl w:val="1"/>
          <w:numId w:val="2"/>
        </w:numPr>
        <w:tabs>
          <w:tab w:val="left" w:pos="990"/>
          <w:tab w:val="left" w:pos="1260"/>
        </w:tabs>
        <w:ind w:left="1644" w:hanging="34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Lionel Kestzenbaum: "Familles, individus et trajectoires: retour sur la place des migrations en démographie historique"</w:t>
      </w:r>
    </w:p>
    <w:p w:rsidR="00EA1156" w:rsidRPr="000F40F7" w:rsidRDefault="00EA1156" w:rsidP="00EA1156">
      <w:pPr>
        <w:tabs>
          <w:tab w:val="left" w:pos="990"/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565A53" w:rsidRPr="000F40F7" w:rsidRDefault="00584B5B" w:rsidP="00EA1156">
      <w:pPr>
        <w:tabs>
          <w:tab w:val="left" w:pos="990"/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11h05</w:t>
      </w:r>
      <w:r w:rsidR="00565A53" w:rsidRPr="000F40F7">
        <w:rPr>
          <w:rFonts w:ascii="Times New Roman" w:hAnsi="Times New Roman" w:cs="Times New Roman"/>
          <w:sz w:val="24"/>
          <w:szCs w:val="24"/>
        </w:rPr>
        <w:tab/>
      </w:r>
      <w:r w:rsidR="00565A53" w:rsidRPr="000F40F7">
        <w:rPr>
          <w:rFonts w:ascii="Times New Roman" w:hAnsi="Times New Roman" w:cs="Times New Roman"/>
          <w:sz w:val="24"/>
          <w:szCs w:val="24"/>
        </w:rPr>
        <w:tab/>
        <w:t>Pause-café</w:t>
      </w:r>
    </w:p>
    <w:p w:rsidR="00565A53" w:rsidRPr="000F40F7" w:rsidRDefault="00565A53" w:rsidP="00EA1156">
      <w:pPr>
        <w:tabs>
          <w:tab w:val="left" w:pos="990"/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31294F" w:rsidRPr="000F40F7" w:rsidRDefault="00584B5B" w:rsidP="00EA1156">
      <w:pPr>
        <w:tabs>
          <w:tab w:val="left" w:pos="990"/>
          <w:tab w:val="left" w:pos="1260"/>
        </w:tabs>
        <w:rPr>
          <w:rFonts w:ascii="Times New Roman" w:hAnsi="Times New Roman" w:cs="Times New Roman"/>
          <w:b/>
          <w:color w:val="1494BC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11h25</w:t>
      </w:r>
      <w:r w:rsidR="00565A53" w:rsidRPr="000F40F7">
        <w:rPr>
          <w:rFonts w:ascii="Times New Roman" w:hAnsi="Times New Roman" w:cs="Times New Roman"/>
          <w:sz w:val="24"/>
          <w:szCs w:val="24"/>
        </w:rPr>
        <w:tab/>
      </w:r>
      <w:r w:rsidR="009D71BD" w:rsidRPr="000F40F7">
        <w:rPr>
          <w:rFonts w:ascii="Times New Roman" w:hAnsi="Times New Roman" w:cs="Times New Roman"/>
          <w:sz w:val="24"/>
          <w:szCs w:val="24"/>
        </w:rPr>
        <w:tab/>
      </w:r>
      <w:r w:rsidR="0031294F" w:rsidRPr="000F40F7">
        <w:rPr>
          <w:rFonts w:ascii="Times New Roman" w:hAnsi="Times New Roman" w:cs="Times New Roman"/>
          <w:b/>
          <w:color w:val="1494BC"/>
          <w:sz w:val="30"/>
          <w:szCs w:val="30"/>
        </w:rPr>
        <w:t>Relations intergénérationnelles, transition</w:t>
      </w:r>
      <w:r w:rsidR="00081240" w:rsidRPr="000F40F7">
        <w:rPr>
          <w:rFonts w:ascii="Times New Roman" w:hAnsi="Times New Roman" w:cs="Times New Roman"/>
          <w:b/>
          <w:color w:val="1494BC"/>
          <w:sz w:val="30"/>
          <w:szCs w:val="30"/>
        </w:rPr>
        <w:t>s</w:t>
      </w:r>
      <w:r w:rsidR="0031294F" w:rsidRPr="000F40F7">
        <w:rPr>
          <w:rFonts w:ascii="Times New Roman" w:hAnsi="Times New Roman" w:cs="Times New Roman"/>
          <w:b/>
          <w:color w:val="1494BC"/>
          <w:sz w:val="30"/>
          <w:szCs w:val="30"/>
        </w:rPr>
        <w:t xml:space="preserve"> et fécondité</w:t>
      </w:r>
    </w:p>
    <w:p w:rsidR="00A304FC" w:rsidRPr="00A304FC" w:rsidRDefault="00A304FC" w:rsidP="00A304FC">
      <w:pPr>
        <w:tabs>
          <w:tab w:val="left" w:pos="990"/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Président :  Lisa Dillon</w:t>
      </w:r>
    </w:p>
    <w:p w:rsidR="0031294F" w:rsidRPr="000F40F7" w:rsidRDefault="0031294F" w:rsidP="009D71BD">
      <w:pPr>
        <w:pStyle w:val="ListParagraph"/>
        <w:numPr>
          <w:ilvl w:val="1"/>
          <w:numId w:val="2"/>
        </w:numPr>
        <w:tabs>
          <w:tab w:val="left" w:pos="990"/>
          <w:tab w:val="left" w:pos="1260"/>
        </w:tabs>
        <w:ind w:left="1644" w:hanging="34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Isabelle Robin, François-Joseph Ruggiu et Sylvain Rassat: "Les 'grands enfants' de Charleville, seconde moitié XVIIIe siècle - première moitié du XIXe siècle"</w:t>
      </w:r>
    </w:p>
    <w:p w:rsidR="0031294F" w:rsidRPr="000F40F7" w:rsidRDefault="0031294F" w:rsidP="009D71BD">
      <w:pPr>
        <w:pStyle w:val="ListParagraph"/>
        <w:numPr>
          <w:ilvl w:val="1"/>
          <w:numId w:val="2"/>
        </w:numPr>
        <w:tabs>
          <w:tab w:val="left" w:pos="990"/>
          <w:tab w:val="left" w:pos="1260"/>
        </w:tabs>
        <w:ind w:left="1644" w:hanging="34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Francine M-Mayer, Mireille Boisvert et Emmanuel Milot: "L'établissement des fils sur le patrimoine foncier au milieu du 19e siècle à l'Isle-aux-Coudres (Québec): ce que révèle l'utilisation combinée des registres d'état civil et des listes"</w:t>
      </w:r>
    </w:p>
    <w:p w:rsidR="0031294F" w:rsidRPr="000F40F7" w:rsidRDefault="00101576" w:rsidP="009D71BD">
      <w:pPr>
        <w:pStyle w:val="ListParagraph"/>
        <w:numPr>
          <w:ilvl w:val="1"/>
          <w:numId w:val="2"/>
        </w:numPr>
        <w:tabs>
          <w:tab w:val="left" w:pos="990"/>
          <w:tab w:val="left" w:pos="1260"/>
        </w:tabs>
        <w:ind w:left="1644" w:hanging="34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Danielle Gauvreau et Benoî</w:t>
      </w:r>
      <w:r w:rsidR="0031294F" w:rsidRPr="000F40F7">
        <w:rPr>
          <w:rFonts w:ascii="Times New Roman" w:hAnsi="Times New Roman" w:cs="Times New Roman"/>
          <w:sz w:val="24"/>
          <w:szCs w:val="24"/>
        </w:rPr>
        <w:t>t Laplante: "Transition de la fécondité et baby-boom au Canada: l'apport des recensements historiques de 1921 à 1951"</w:t>
      </w:r>
    </w:p>
    <w:p w:rsidR="0031294F" w:rsidRPr="000F40F7" w:rsidRDefault="0031294F" w:rsidP="0031294F">
      <w:pPr>
        <w:tabs>
          <w:tab w:val="left" w:pos="990"/>
          <w:tab w:val="left" w:pos="1260"/>
        </w:tabs>
        <w:ind w:left="2160" w:hanging="2160"/>
        <w:rPr>
          <w:rFonts w:ascii="Times New Roman" w:hAnsi="Times New Roman" w:cs="Times New Roman"/>
          <w:sz w:val="24"/>
          <w:szCs w:val="24"/>
        </w:rPr>
      </w:pPr>
    </w:p>
    <w:p w:rsidR="00FE3B2F" w:rsidRPr="000F40F7" w:rsidRDefault="00FE3B2F" w:rsidP="00EA1156">
      <w:pPr>
        <w:tabs>
          <w:tab w:val="left" w:pos="990"/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12h</w:t>
      </w:r>
      <w:r w:rsidR="00584B5B" w:rsidRPr="000F40F7">
        <w:rPr>
          <w:rFonts w:ascii="Times New Roman" w:hAnsi="Times New Roman" w:cs="Times New Roman"/>
          <w:sz w:val="24"/>
          <w:szCs w:val="24"/>
        </w:rPr>
        <w:t>25</w:t>
      </w:r>
      <w:r w:rsidRPr="000F40F7">
        <w:rPr>
          <w:rFonts w:ascii="Times New Roman" w:hAnsi="Times New Roman" w:cs="Times New Roman"/>
          <w:sz w:val="24"/>
          <w:szCs w:val="24"/>
        </w:rPr>
        <w:tab/>
      </w:r>
      <w:r w:rsidRPr="000F40F7">
        <w:rPr>
          <w:rFonts w:ascii="Times New Roman" w:hAnsi="Times New Roman" w:cs="Times New Roman"/>
          <w:sz w:val="24"/>
          <w:szCs w:val="24"/>
        </w:rPr>
        <w:tab/>
      </w:r>
      <w:r w:rsidR="000F40F7">
        <w:rPr>
          <w:rFonts w:ascii="Times New Roman" w:hAnsi="Times New Roman" w:cs="Times New Roman"/>
          <w:sz w:val="24"/>
          <w:szCs w:val="24"/>
        </w:rPr>
        <w:t>Repas</w:t>
      </w:r>
    </w:p>
    <w:p w:rsidR="00FE3B2F" w:rsidRPr="000F40F7" w:rsidRDefault="00FE3B2F" w:rsidP="00EA1156">
      <w:pPr>
        <w:tabs>
          <w:tab w:val="left" w:pos="990"/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31294F" w:rsidRPr="000F40F7" w:rsidRDefault="0031294F" w:rsidP="00EA1156">
      <w:pPr>
        <w:tabs>
          <w:tab w:val="left" w:pos="990"/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14h00</w:t>
      </w:r>
      <w:r w:rsidR="00D8772D" w:rsidRPr="000F40F7">
        <w:rPr>
          <w:rFonts w:ascii="Times New Roman" w:hAnsi="Times New Roman" w:cs="Times New Roman"/>
          <w:sz w:val="24"/>
          <w:szCs w:val="24"/>
        </w:rPr>
        <w:tab/>
      </w:r>
      <w:r w:rsidR="00D8772D" w:rsidRPr="000F40F7">
        <w:rPr>
          <w:rFonts w:ascii="Times New Roman" w:hAnsi="Times New Roman" w:cs="Times New Roman"/>
          <w:sz w:val="24"/>
          <w:szCs w:val="24"/>
        </w:rPr>
        <w:tab/>
      </w:r>
      <w:r w:rsidRPr="000F40F7">
        <w:rPr>
          <w:rFonts w:ascii="Times New Roman" w:hAnsi="Times New Roman" w:cs="Times New Roman"/>
          <w:sz w:val="24"/>
          <w:szCs w:val="24"/>
        </w:rPr>
        <w:t>Départ en autobus pour le Vieux-Montréal</w:t>
      </w:r>
    </w:p>
    <w:p w:rsidR="0031294F" w:rsidRPr="000F40F7" w:rsidRDefault="0031294F" w:rsidP="00EA1156">
      <w:pPr>
        <w:tabs>
          <w:tab w:val="left" w:pos="990"/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31294F" w:rsidRPr="000F40F7" w:rsidRDefault="0031294F" w:rsidP="00EA1156">
      <w:pPr>
        <w:tabs>
          <w:tab w:val="left" w:pos="990"/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15h00</w:t>
      </w:r>
      <w:r w:rsidRPr="000F40F7">
        <w:rPr>
          <w:rFonts w:ascii="Times New Roman" w:hAnsi="Times New Roman" w:cs="Times New Roman"/>
          <w:sz w:val="24"/>
          <w:szCs w:val="24"/>
        </w:rPr>
        <w:tab/>
      </w:r>
      <w:r w:rsidR="00D8772D" w:rsidRPr="000F40F7">
        <w:rPr>
          <w:rFonts w:ascii="Times New Roman" w:hAnsi="Times New Roman" w:cs="Times New Roman"/>
          <w:sz w:val="24"/>
          <w:szCs w:val="24"/>
        </w:rPr>
        <w:tab/>
      </w:r>
      <w:r w:rsidR="009D71BD" w:rsidRPr="000F40F7">
        <w:rPr>
          <w:rFonts w:ascii="Times New Roman" w:hAnsi="Times New Roman" w:cs="Times New Roman"/>
          <w:sz w:val="24"/>
          <w:szCs w:val="24"/>
        </w:rPr>
        <w:t>Conférence à la</w:t>
      </w:r>
      <w:r w:rsidRPr="000F40F7">
        <w:rPr>
          <w:rFonts w:ascii="Times New Roman" w:hAnsi="Times New Roman" w:cs="Times New Roman"/>
          <w:sz w:val="24"/>
          <w:szCs w:val="24"/>
        </w:rPr>
        <w:t xml:space="preserve"> Musée de la Pointe-à-Callières</w:t>
      </w:r>
      <w:r w:rsidR="003A0D7B" w:rsidRPr="000F40F7">
        <w:rPr>
          <w:rFonts w:ascii="Times New Roman" w:hAnsi="Times New Roman" w:cs="Times New Roman"/>
          <w:sz w:val="24"/>
          <w:szCs w:val="24"/>
        </w:rPr>
        <w:t>, 350 Place Royale, Vieux Montréal</w:t>
      </w:r>
    </w:p>
    <w:p w:rsidR="0031294F" w:rsidRPr="000F40F7" w:rsidRDefault="0031294F" w:rsidP="00EA1156">
      <w:pPr>
        <w:tabs>
          <w:tab w:val="left" w:pos="990"/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9D71BD" w:rsidRPr="000F40F7" w:rsidRDefault="0031294F" w:rsidP="00EA1156">
      <w:pPr>
        <w:tabs>
          <w:tab w:val="left" w:pos="990"/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18h30</w:t>
      </w:r>
      <w:r w:rsidRPr="000F40F7">
        <w:rPr>
          <w:rFonts w:ascii="Times New Roman" w:hAnsi="Times New Roman" w:cs="Times New Roman"/>
          <w:sz w:val="24"/>
          <w:szCs w:val="24"/>
        </w:rPr>
        <w:tab/>
      </w:r>
      <w:r w:rsidR="00D8772D" w:rsidRPr="000F40F7">
        <w:rPr>
          <w:rFonts w:ascii="Times New Roman" w:hAnsi="Times New Roman" w:cs="Times New Roman"/>
          <w:sz w:val="24"/>
          <w:szCs w:val="24"/>
        </w:rPr>
        <w:tab/>
      </w:r>
      <w:r w:rsidRPr="000F40F7">
        <w:rPr>
          <w:rFonts w:ascii="Times New Roman" w:hAnsi="Times New Roman" w:cs="Times New Roman"/>
          <w:sz w:val="24"/>
          <w:szCs w:val="24"/>
        </w:rPr>
        <w:t>Banquet</w:t>
      </w:r>
      <w:r w:rsidR="009D71BD" w:rsidRPr="000F40F7">
        <w:rPr>
          <w:rFonts w:ascii="Times New Roman" w:hAnsi="Times New Roman" w:cs="Times New Roman"/>
          <w:sz w:val="24"/>
          <w:szCs w:val="24"/>
        </w:rPr>
        <w:t xml:space="preserve">, Restaurant </w:t>
      </w:r>
      <w:r w:rsidR="009D71BD" w:rsidRPr="000F40F7">
        <w:rPr>
          <w:rFonts w:ascii="Times New Roman" w:hAnsi="Times New Roman" w:cs="Times New Roman"/>
          <w:i/>
          <w:sz w:val="24"/>
          <w:szCs w:val="24"/>
        </w:rPr>
        <w:t>Les Filles du Roy</w:t>
      </w:r>
      <w:r w:rsidR="003A0D7B" w:rsidRPr="000F40F7">
        <w:rPr>
          <w:rFonts w:ascii="Times New Roman" w:hAnsi="Times New Roman" w:cs="Times New Roman"/>
          <w:sz w:val="24"/>
          <w:szCs w:val="24"/>
        </w:rPr>
        <w:t xml:space="preserve">, 405 Bonsecours, Vieux Montréal </w:t>
      </w:r>
    </w:p>
    <w:p w:rsidR="00225D6A" w:rsidRPr="000F40F7" w:rsidRDefault="00225D6A" w:rsidP="00F4225B">
      <w:pPr>
        <w:tabs>
          <w:tab w:val="left" w:pos="990"/>
          <w:tab w:val="left" w:pos="1260"/>
        </w:tabs>
        <w:ind w:left="126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 xml:space="preserve">Hommage aux bâtisseurs du </w:t>
      </w:r>
      <w:r w:rsidR="00F4225B" w:rsidRPr="000F40F7">
        <w:rPr>
          <w:rFonts w:ascii="Times New Roman" w:hAnsi="Times New Roman" w:cs="Times New Roman"/>
          <w:sz w:val="24"/>
          <w:szCs w:val="24"/>
        </w:rPr>
        <w:t>PRDH :  Hubert Charbonneau, Jacques Légaré, Bertrand Desjardins</w:t>
      </w:r>
    </w:p>
    <w:p w:rsidR="003A0D7B" w:rsidRPr="000F40F7" w:rsidRDefault="003A0D7B" w:rsidP="00EA1156">
      <w:pPr>
        <w:tabs>
          <w:tab w:val="left" w:pos="990"/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9D71BD" w:rsidRPr="000F40F7" w:rsidRDefault="009D71BD" w:rsidP="00EA1156">
      <w:pPr>
        <w:tabs>
          <w:tab w:val="left" w:pos="990"/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584B5B" w:rsidRPr="000F40F7" w:rsidRDefault="00584B5B" w:rsidP="0031294F">
      <w:pPr>
        <w:rPr>
          <w:rFonts w:ascii="Times New Roman" w:hAnsi="Times New Roman" w:cs="Times New Roman"/>
          <w:sz w:val="32"/>
          <w:szCs w:val="32"/>
        </w:rPr>
      </w:pPr>
    </w:p>
    <w:p w:rsidR="0031294F" w:rsidRDefault="000F40F7" w:rsidP="003129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="0031294F" w:rsidRPr="000F40F7">
        <w:rPr>
          <w:rFonts w:ascii="Times New Roman" w:hAnsi="Times New Roman" w:cs="Times New Roman"/>
          <w:sz w:val="32"/>
          <w:szCs w:val="32"/>
        </w:rPr>
        <w:lastRenderedPageBreak/>
        <w:t>Dimanche 14 mai</w:t>
      </w:r>
    </w:p>
    <w:p w:rsidR="00A304FC" w:rsidRPr="000F40F7" w:rsidRDefault="00A304FC" w:rsidP="0031294F">
      <w:pPr>
        <w:rPr>
          <w:rFonts w:ascii="Times New Roman" w:hAnsi="Times New Roman" w:cs="Times New Roman"/>
          <w:sz w:val="32"/>
          <w:szCs w:val="32"/>
        </w:rPr>
      </w:pPr>
    </w:p>
    <w:p w:rsidR="0031294F" w:rsidRPr="000F40F7" w:rsidRDefault="0031294F" w:rsidP="0031294F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F81FE7" w:rsidRPr="000F40F7" w:rsidRDefault="005850AA" w:rsidP="00C02ACF">
      <w:pPr>
        <w:tabs>
          <w:tab w:val="left" w:pos="990"/>
          <w:tab w:val="left" w:pos="1260"/>
        </w:tabs>
        <w:ind w:left="1260" w:hanging="126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09</w:t>
      </w:r>
      <w:r w:rsidR="0031294F" w:rsidRPr="000F40F7">
        <w:rPr>
          <w:rFonts w:ascii="Times New Roman" w:hAnsi="Times New Roman" w:cs="Times New Roman"/>
          <w:sz w:val="24"/>
          <w:szCs w:val="24"/>
        </w:rPr>
        <w:t>h</w:t>
      </w:r>
      <w:r w:rsidR="00584B5B" w:rsidRPr="000F40F7">
        <w:rPr>
          <w:rFonts w:ascii="Times New Roman" w:hAnsi="Times New Roman" w:cs="Times New Roman"/>
          <w:sz w:val="24"/>
          <w:szCs w:val="24"/>
        </w:rPr>
        <w:t>30</w:t>
      </w:r>
      <w:r w:rsidR="0031294F" w:rsidRPr="000F40F7">
        <w:rPr>
          <w:rFonts w:ascii="Times New Roman" w:hAnsi="Times New Roman" w:cs="Times New Roman"/>
          <w:sz w:val="24"/>
          <w:szCs w:val="24"/>
        </w:rPr>
        <w:tab/>
      </w:r>
      <w:r w:rsidR="009D71BD" w:rsidRPr="000F40F7">
        <w:rPr>
          <w:rFonts w:ascii="Times New Roman" w:hAnsi="Times New Roman" w:cs="Times New Roman"/>
          <w:sz w:val="24"/>
          <w:szCs w:val="24"/>
        </w:rPr>
        <w:tab/>
      </w:r>
      <w:r w:rsidR="00C02ACF" w:rsidRPr="000F40F7">
        <w:rPr>
          <w:rFonts w:ascii="Times New Roman" w:hAnsi="Times New Roman" w:cs="Times New Roman"/>
          <w:b/>
          <w:color w:val="1494BC"/>
          <w:sz w:val="30"/>
          <w:szCs w:val="30"/>
        </w:rPr>
        <w:t>Table ronde</w:t>
      </w:r>
      <w:r w:rsidR="00C02ACF" w:rsidRPr="000F40F7">
        <w:rPr>
          <w:rFonts w:ascii="Times New Roman" w:hAnsi="Times New Roman" w:cs="Times New Roman"/>
          <w:color w:val="1494BC"/>
          <w:sz w:val="24"/>
          <w:szCs w:val="24"/>
        </w:rPr>
        <w:t> </w:t>
      </w:r>
      <w:r w:rsidR="00C02ACF" w:rsidRPr="000F40F7">
        <w:rPr>
          <w:rFonts w:ascii="Times New Roman" w:hAnsi="Times New Roman" w:cs="Times New Roman"/>
          <w:sz w:val="24"/>
          <w:szCs w:val="24"/>
        </w:rPr>
        <w:t xml:space="preserve">: Réflexions des généalogistes et historiens sur le PRDH : </w:t>
      </w:r>
    </w:p>
    <w:p w:rsidR="005850AA" w:rsidRPr="000F40F7" w:rsidRDefault="00F81FE7" w:rsidP="00A304FC">
      <w:pPr>
        <w:tabs>
          <w:tab w:val="left" w:pos="990"/>
          <w:tab w:val="left" w:pos="1260"/>
        </w:tabs>
        <w:ind w:left="1260" w:hanging="126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ab/>
      </w:r>
      <w:r w:rsidRPr="000F40F7">
        <w:rPr>
          <w:rFonts w:ascii="Times New Roman" w:hAnsi="Times New Roman" w:cs="Times New Roman"/>
          <w:sz w:val="24"/>
          <w:szCs w:val="24"/>
        </w:rPr>
        <w:tab/>
      </w:r>
      <w:r w:rsidR="00C02ACF" w:rsidRPr="000F40F7">
        <w:rPr>
          <w:rFonts w:ascii="Times New Roman" w:hAnsi="Times New Roman" w:cs="Times New Roman"/>
          <w:sz w:val="24"/>
          <w:szCs w:val="24"/>
        </w:rPr>
        <w:t>Marcel Fournier</w:t>
      </w:r>
      <w:r w:rsidR="000F40F7">
        <w:rPr>
          <w:rFonts w:ascii="Times New Roman" w:hAnsi="Times New Roman" w:cs="Times New Roman"/>
          <w:sz w:val="24"/>
          <w:szCs w:val="24"/>
        </w:rPr>
        <w:t xml:space="preserve"> (président)</w:t>
      </w:r>
      <w:r w:rsidR="00C02ACF" w:rsidRPr="000F40F7">
        <w:rPr>
          <w:rFonts w:ascii="Times New Roman" w:hAnsi="Times New Roman" w:cs="Times New Roman"/>
          <w:sz w:val="24"/>
          <w:szCs w:val="24"/>
        </w:rPr>
        <w:t>, François Lafrenière, Robert Larin</w:t>
      </w:r>
      <w:r w:rsidR="00E00828" w:rsidRPr="000F40F7">
        <w:rPr>
          <w:rFonts w:ascii="Times New Roman" w:hAnsi="Times New Roman" w:cs="Times New Roman"/>
          <w:sz w:val="24"/>
          <w:szCs w:val="24"/>
        </w:rPr>
        <w:t>, Louis Richer, Marie Gagné</w:t>
      </w:r>
      <w:r w:rsidR="00533230" w:rsidRPr="000F40F7">
        <w:rPr>
          <w:rFonts w:ascii="Times New Roman" w:hAnsi="Times New Roman" w:cs="Times New Roman"/>
          <w:sz w:val="24"/>
          <w:szCs w:val="24"/>
        </w:rPr>
        <w:t>, Mona-Andrée Rainville</w:t>
      </w:r>
      <w:r w:rsidR="00A304FC">
        <w:rPr>
          <w:rFonts w:ascii="Times New Roman" w:hAnsi="Times New Roman" w:cs="Times New Roman"/>
          <w:sz w:val="24"/>
          <w:szCs w:val="24"/>
        </w:rPr>
        <w:t xml:space="preserve">.   </w:t>
      </w:r>
      <w:r w:rsidR="000F40F7">
        <w:rPr>
          <w:rFonts w:ascii="Times New Roman" w:hAnsi="Times New Roman" w:cs="Times New Roman"/>
          <w:sz w:val="24"/>
          <w:szCs w:val="24"/>
        </w:rPr>
        <w:t>Conclusion</w:t>
      </w:r>
      <w:r w:rsidR="00B31911" w:rsidRPr="000F40F7">
        <w:rPr>
          <w:rFonts w:ascii="Times New Roman" w:hAnsi="Times New Roman" w:cs="Times New Roman"/>
          <w:sz w:val="24"/>
          <w:szCs w:val="24"/>
        </w:rPr>
        <w:t> :  Hubert Charbonneau</w:t>
      </w:r>
    </w:p>
    <w:p w:rsidR="00C02ACF" w:rsidRPr="000F40F7" w:rsidRDefault="00C02ACF" w:rsidP="00C02ACF">
      <w:pPr>
        <w:tabs>
          <w:tab w:val="left" w:pos="990"/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31294F" w:rsidRPr="000F40F7" w:rsidRDefault="00584B5B" w:rsidP="0031294F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11h00</w:t>
      </w:r>
      <w:r w:rsidR="0031294F" w:rsidRPr="000F40F7">
        <w:rPr>
          <w:rFonts w:ascii="Times New Roman" w:hAnsi="Times New Roman" w:cs="Times New Roman"/>
          <w:sz w:val="24"/>
          <w:szCs w:val="24"/>
        </w:rPr>
        <w:tab/>
      </w:r>
      <w:r w:rsidR="005850AA" w:rsidRPr="000F40F7">
        <w:rPr>
          <w:rFonts w:ascii="Times New Roman" w:hAnsi="Times New Roman" w:cs="Times New Roman"/>
          <w:sz w:val="24"/>
          <w:szCs w:val="24"/>
        </w:rPr>
        <w:t>Pause-café</w:t>
      </w:r>
    </w:p>
    <w:p w:rsidR="009158FF" w:rsidRPr="000F40F7" w:rsidRDefault="009158FF" w:rsidP="005850AA">
      <w:pPr>
        <w:tabs>
          <w:tab w:val="left" w:pos="990"/>
          <w:tab w:val="left" w:pos="1260"/>
        </w:tabs>
        <w:ind w:left="2610" w:hanging="2610"/>
        <w:rPr>
          <w:rFonts w:ascii="Times New Roman" w:hAnsi="Times New Roman" w:cs="Times New Roman"/>
          <w:sz w:val="24"/>
          <w:szCs w:val="24"/>
        </w:rPr>
      </w:pPr>
    </w:p>
    <w:p w:rsidR="009158FF" w:rsidRDefault="009158FF" w:rsidP="009158FF">
      <w:pPr>
        <w:tabs>
          <w:tab w:val="left" w:pos="990"/>
          <w:tab w:val="left" w:pos="1260"/>
        </w:tabs>
        <w:ind w:left="2160" w:hanging="2160"/>
        <w:rPr>
          <w:rFonts w:ascii="Times New Roman" w:hAnsi="Times New Roman" w:cs="Times New Roman"/>
          <w:color w:val="1494BC"/>
          <w:sz w:val="30"/>
          <w:szCs w:val="30"/>
        </w:rPr>
      </w:pPr>
      <w:r w:rsidRPr="000F40F7">
        <w:rPr>
          <w:rFonts w:ascii="Times New Roman" w:hAnsi="Times New Roman" w:cs="Times New Roman"/>
          <w:sz w:val="24"/>
          <w:szCs w:val="24"/>
        </w:rPr>
        <w:t>11h</w:t>
      </w:r>
      <w:r w:rsidR="00584B5B" w:rsidRPr="000F40F7">
        <w:rPr>
          <w:rFonts w:ascii="Times New Roman" w:hAnsi="Times New Roman" w:cs="Times New Roman"/>
          <w:sz w:val="24"/>
          <w:szCs w:val="24"/>
        </w:rPr>
        <w:t>30</w:t>
      </w:r>
      <w:r w:rsidRPr="000F40F7">
        <w:rPr>
          <w:rFonts w:ascii="Times New Roman" w:hAnsi="Times New Roman" w:cs="Times New Roman"/>
          <w:sz w:val="24"/>
          <w:szCs w:val="24"/>
        </w:rPr>
        <w:tab/>
      </w:r>
      <w:r w:rsidRPr="000F40F7">
        <w:rPr>
          <w:rFonts w:ascii="Times New Roman" w:hAnsi="Times New Roman" w:cs="Times New Roman"/>
          <w:sz w:val="24"/>
          <w:szCs w:val="24"/>
        </w:rPr>
        <w:tab/>
      </w:r>
      <w:r w:rsidRPr="000F40F7">
        <w:rPr>
          <w:rFonts w:ascii="Times New Roman" w:hAnsi="Times New Roman" w:cs="Times New Roman"/>
          <w:b/>
          <w:color w:val="1494BC"/>
          <w:sz w:val="30"/>
          <w:szCs w:val="30"/>
        </w:rPr>
        <w:t>Généalogies et origines</w:t>
      </w:r>
      <w:r w:rsidRPr="000F40F7">
        <w:rPr>
          <w:rFonts w:ascii="Times New Roman" w:hAnsi="Times New Roman" w:cs="Times New Roman"/>
          <w:color w:val="1494BC"/>
          <w:sz w:val="30"/>
          <w:szCs w:val="30"/>
        </w:rPr>
        <w:t xml:space="preserve"> </w:t>
      </w:r>
    </w:p>
    <w:p w:rsidR="00A304FC" w:rsidRPr="00A304FC" w:rsidRDefault="00A304FC" w:rsidP="009158FF">
      <w:pPr>
        <w:tabs>
          <w:tab w:val="left" w:pos="990"/>
          <w:tab w:val="left" w:pos="1260"/>
        </w:tabs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494BC"/>
          <w:sz w:val="30"/>
          <w:szCs w:val="30"/>
        </w:rPr>
        <w:tab/>
      </w:r>
      <w:r>
        <w:rPr>
          <w:rFonts w:ascii="Times New Roman" w:hAnsi="Times New Roman" w:cs="Times New Roman"/>
          <w:color w:val="1494BC"/>
          <w:sz w:val="30"/>
          <w:szCs w:val="30"/>
        </w:rPr>
        <w:tab/>
      </w:r>
      <w:r w:rsidRPr="00A304FC">
        <w:rPr>
          <w:rFonts w:ascii="Times New Roman" w:hAnsi="Times New Roman" w:cs="Times New Roman"/>
          <w:sz w:val="24"/>
          <w:szCs w:val="24"/>
        </w:rPr>
        <w:t>Président :  Robert Bourbeau</w:t>
      </w:r>
    </w:p>
    <w:p w:rsidR="00584B5B" w:rsidRPr="000F40F7" w:rsidRDefault="00584B5B" w:rsidP="00584B5B">
      <w:pPr>
        <w:pStyle w:val="ListParagraph"/>
        <w:numPr>
          <w:ilvl w:val="1"/>
          <w:numId w:val="2"/>
        </w:numPr>
        <w:tabs>
          <w:tab w:val="left" w:pos="990"/>
          <w:tab w:val="left" w:pos="1260"/>
        </w:tabs>
        <w:ind w:left="1644" w:hanging="34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Éric Pouliot: "L'Identification des populations autochtones de Kahnawake et Kanesatake au 19e siècle"</w:t>
      </w:r>
    </w:p>
    <w:p w:rsidR="009158FF" w:rsidRPr="000F40F7" w:rsidRDefault="00101576" w:rsidP="009158FF">
      <w:pPr>
        <w:pStyle w:val="ListParagraph"/>
        <w:numPr>
          <w:ilvl w:val="1"/>
          <w:numId w:val="2"/>
        </w:numPr>
        <w:tabs>
          <w:tab w:val="left" w:pos="990"/>
          <w:tab w:val="left" w:pos="1260"/>
        </w:tabs>
        <w:ind w:left="1644" w:hanging="34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Marc Tremblay, Jean-Sébastien Bournival, Ève-Marie Lavoie et Hélène Vézina</w:t>
      </w:r>
      <w:r w:rsidR="009158FF" w:rsidRPr="000F40F7">
        <w:rPr>
          <w:rFonts w:ascii="Times New Roman" w:hAnsi="Times New Roman" w:cs="Times New Roman"/>
          <w:sz w:val="24"/>
          <w:szCs w:val="24"/>
        </w:rPr>
        <w:t>: "Comparaison des origines ethniques déclarées au recensement avec les origines ancestrales établies par les données généalogiques"</w:t>
      </w:r>
    </w:p>
    <w:p w:rsidR="00584B5B" w:rsidRPr="000F40F7" w:rsidRDefault="00584B5B" w:rsidP="005850AA">
      <w:pPr>
        <w:tabs>
          <w:tab w:val="left" w:pos="990"/>
          <w:tab w:val="left" w:pos="1260"/>
        </w:tabs>
        <w:ind w:left="2610" w:hanging="2610"/>
        <w:rPr>
          <w:rFonts w:ascii="Times New Roman" w:hAnsi="Times New Roman" w:cs="Times New Roman"/>
          <w:sz w:val="24"/>
          <w:szCs w:val="24"/>
        </w:rPr>
      </w:pPr>
    </w:p>
    <w:p w:rsidR="00D8772D" w:rsidRDefault="00584B5B" w:rsidP="005850AA">
      <w:pPr>
        <w:tabs>
          <w:tab w:val="left" w:pos="990"/>
          <w:tab w:val="left" w:pos="1260"/>
        </w:tabs>
        <w:ind w:left="2610" w:hanging="261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12h10</w:t>
      </w:r>
      <w:r w:rsidR="00D8772D" w:rsidRPr="000F40F7">
        <w:rPr>
          <w:rFonts w:ascii="Times New Roman" w:hAnsi="Times New Roman" w:cs="Times New Roman"/>
          <w:sz w:val="24"/>
          <w:szCs w:val="24"/>
        </w:rPr>
        <w:tab/>
      </w:r>
      <w:r w:rsidR="00DA4ED3" w:rsidRPr="000F40F7">
        <w:rPr>
          <w:rFonts w:ascii="Times New Roman" w:hAnsi="Times New Roman" w:cs="Times New Roman"/>
          <w:sz w:val="24"/>
          <w:szCs w:val="24"/>
        </w:rPr>
        <w:tab/>
      </w:r>
      <w:r w:rsidR="000F40F7">
        <w:rPr>
          <w:rFonts w:ascii="Times New Roman" w:hAnsi="Times New Roman" w:cs="Times New Roman"/>
          <w:sz w:val="24"/>
          <w:szCs w:val="24"/>
        </w:rPr>
        <w:t>Repas et Séance d’affiches scientifiques</w:t>
      </w:r>
    </w:p>
    <w:p w:rsidR="000F40F7" w:rsidRDefault="000F40F7" w:rsidP="005850AA">
      <w:pPr>
        <w:tabs>
          <w:tab w:val="left" w:pos="990"/>
          <w:tab w:val="left" w:pos="1260"/>
        </w:tabs>
        <w:ind w:left="2610" w:hanging="2610"/>
        <w:rPr>
          <w:rFonts w:ascii="Times New Roman" w:hAnsi="Times New Roman" w:cs="Times New Roman"/>
          <w:sz w:val="24"/>
          <w:szCs w:val="24"/>
        </w:rPr>
      </w:pPr>
    </w:p>
    <w:p w:rsidR="00D8772D" w:rsidRDefault="00584B5B" w:rsidP="00584B5B">
      <w:pPr>
        <w:tabs>
          <w:tab w:val="left" w:pos="990"/>
          <w:tab w:val="left" w:pos="1260"/>
        </w:tabs>
        <w:ind w:left="1260" w:hanging="1260"/>
        <w:rPr>
          <w:rFonts w:ascii="Times New Roman" w:hAnsi="Times New Roman" w:cs="Times New Roman"/>
          <w:b/>
          <w:color w:val="1494BC"/>
          <w:sz w:val="30"/>
          <w:szCs w:val="30"/>
        </w:rPr>
      </w:pPr>
      <w:r w:rsidRPr="000F40F7">
        <w:rPr>
          <w:rFonts w:ascii="Times New Roman" w:hAnsi="Times New Roman" w:cs="Times New Roman"/>
          <w:sz w:val="24"/>
          <w:szCs w:val="24"/>
        </w:rPr>
        <w:t>13h</w:t>
      </w:r>
      <w:r w:rsidR="006F5895" w:rsidRPr="000F40F7">
        <w:rPr>
          <w:rFonts w:ascii="Times New Roman" w:hAnsi="Times New Roman" w:cs="Times New Roman"/>
          <w:sz w:val="24"/>
          <w:szCs w:val="24"/>
        </w:rPr>
        <w:t>4</w:t>
      </w:r>
      <w:r w:rsidRPr="000F40F7">
        <w:rPr>
          <w:rFonts w:ascii="Times New Roman" w:hAnsi="Times New Roman" w:cs="Times New Roman"/>
          <w:sz w:val="24"/>
          <w:szCs w:val="24"/>
        </w:rPr>
        <w:t>0</w:t>
      </w:r>
      <w:r w:rsidR="009D71BD" w:rsidRPr="000F40F7">
        <w:rPr>
          <w:rFonts w:ascii="Times New Roman" w:hAnsi="Times New Roman" w:cs="Times New Roman"/>
          <w:sz w:val="24"/>
          <w:szCs w:val="24"/>
        </w:rPr>
        <w:tab/>
      </w:r>
      <w:r w:rsidR="009D71BD" w:rsidRPr="000F40F7">
        <w:rPr>
          <w:rFonts w:ascii="Times New Roman" w:hAnsi="Times New Roman" w:cs="Times New Roman"/>
          <w:sz w:val="24"/>
          <w:szCs w:val="24"/>
        </w:rPr>
        <w:tab/>
      </w:r>
      <w:r w:rsidR="00FE3B2F" w:rsidRPr="000F40F7">
        <w:rPr>
          <w:rFonts w:ascii="Times New Roman" w:hAnsi="Times New Roman" w:cs="Times New Roman"/>
          <w:b/>
          <w:color w:val="1494BC"/>
          <w:sz w:val="30"/>
          <w:szCs w:val="30"/>
        </w:rPr>
        <w:t xml:space="preserve">La mortalité, la morbidité, </w:t>
      </w:r>
      <w:r w:rsidR="00D8772D" w:rsidRPr="000F40F7">
        <w:rPr>
          <w:rFonts w:ascii="Times New Roman" w:hAnsi="Times New Roman" w:cs="Times New Roman"/>
          <w:b/>
          <w:color w:val="1494BC"/>
          <w:sz w:val="30"/>
          <w:szCs w:val="30"/>
        </w:rPr>
        <w:t>l'environnement</w:t>
      </w:r>
      <w:r w:rsidR="00081240" w:rsidRPr="000F40F7">
        <w:rPr>
          <w:rFonts w:ascii="Times New Roman" w:hAnsi="Times New Roman" w:cs="Times New Roman"/>
          <w:b/>
          <w:color w:val="1494BC"/>
          <w:sz w:val="30"/>
          <w:szCs w:val="30"/>
        </w:rPr>
        <w:t xml:space="preserve"> et </w:t>
      </w:r>
      <w:r w:rsidR="00FE3B2F" w:rsidRPr="000F40F7">
        <w:rPr>
          <w:rFonts w:ascii="Times New Roman" w:hAnsi="Times New Roman" w:cs="Times New Roman"/>
          <w:b/>
          <w:color w:val="1494BC"/>
          <w:sz w:val="30"/>
          <w:szCs w:val="30"/>
        </w:rPr>
        <w:t>perspectives bio-archéologiques</w:t>
      </w:r>
    </w:p>
    <w:p w:rsidR="000F40F7" w:rsidRPr="00A304FC" w:rsidRDefault="000F40F7" w:rsidP="00584B5B">
      <w:pPr>
        <w:tabs>
          <w:tab w:val="left" w:pos="990"/>
          <w:tab w:val="left" w:pos="1260"/>
        </w:tabs>
        <w:ind w:left="1260" w:hanging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1494BC"/>
          <w:sz w:val="30"/>
          <w:szCs w:val="30"/>
        </w:rPr>
        <w:tab/>
      </w:r>
      <w:r>
        <w:rPr>
          <w:rFonts w:ascii="Times New Roman" w:hAnsi="Times New Roman" w:cs="Times New Roman"/>
          <w:b/>
          <w:color w:val="1494BC"/>
          <w:sz w:val="30"/>
          <w:szCs w:val="30"/>
        </w:rPr>
        <w:tab/>
      </w:r>
      <w:r w:rsidRPr="00A304FC">
        <w:rPr>
          <w:rFonts w:ascii="Times New Roman" w:hAnsi="Times New Roman" w:cs="Times New Roman"/>
          <w:sz w:val="24"/>
          <w:szCs w:val="24"/>
        </w:rPr>
        <w:t>Président :  Jacques Légaré</w:t>
      </w:r>
    </w:p>
    <w:p w:rsidR="00D8772D" w:rsidRPr="000F40F7" w:rsidRDefault="00D8772D" w:rsidP="009D71BD">
      <w:pPr>
        <w:pStyle w:val="ListParagraph"/>
        <w:numPr>
          <w:ilvl w:val="1"/>
          <w:numId w:val="2"/>
        </w:numPr>
        <w:tabs>
          <w:tab w:val="left" w:pos="990"/>
          <w:tab w:val="left" w:pos="1260"/>
        </w:tabs>
        <w:ind w:left="1644" w:hanging="34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 xml:space="preserve">Guy Brunet: </w:t>
      </w:r>
      <w:r w:rsidR="00DA4ED3" w:rsidRPr="000F40F7">
        <w:rPr>
          <w:rFonts w:ascii="Times New Roman" w:hAnsi="Times New Roman" w:cs="Times New Roman"/>
          <w:sz w:val="24"/>
          <w:szCs w:val="24"/>
        </w:rPr>
        <w:t>"La vie de famille en contexte de forte mortalité: la Dombes au XVIIIe siècle"</w:t>
      </w:r>
    </w:p>
    <w:p w:rsidR="00DA4ED3" w:rsidRPr="000F40F7" w:rsidRDefault="00DA4ED3" w:rsidP="009D71BD">
      <w:pPr>
        <w:pStyle w:val="ListParagraph"/>
        <w:numPr>
          <w:ilvl w:val="1"/>
          <w:numId w:val="2"/>
        </w:numPr>
        <w:tabs>
          <w:tab w:val="left" w:pos="990"/>
          <w:tab w:val="left" w:pos="1260"/>
        </w:tabs>
        <w:ind w:left="1644" w:hanging="340"/>
        <w:rPr>
          <w:rFonts w:ascii="Times New Roman" w:hAnsi="Times New Roman" w:cs="Times New Roman"/>
          <w:sz w:val="24"/>
          <w:szCs w:val="24"/>
          <w:lang w:val="en-CA"/>
        </w:rPr>
      </w:pPr>
      <w:r w:rsidRPr="000F40F7">
        <w:rPr>
          <w:rFonts w:ascii="Times New Roman" w:hAnsi="Times New Roman" w:cs="Times New Roman"/>
          <w:sz w:val="24"/>
          <w:szCs w:val="24"/>
          <w:lang w:val="en-CA"/>
        </w:rPr>
        <w:t>Catalina Torres et Jim Oeppen: "Urban Mortality in 19th century Denmark"</w:t>
      </w:r>
    </w:p>
    <w:p w:rsidR="00DA4ED3" w:rsidRPr="000F40F7" w:rsidRDefault="00101576" w:rsidP="0014063F">
      <w:pPr>
        <w:pStyle w:val="ListParagraph"/>
        <w:numPr>
          <w:ilvl w:val="1"/>
          <w:numId w:val="2"/>
        </w:numPr>
        <w:tabs>
          <w:tab w:val="left" w:pos="990"/>
          <w:tab w:val="left" w:pos="1260"/>
        </w:tabs>
        <w:ind w:left="1644" w:hanging="340"/>
        <w:rPr>
          <w:rFonts w:ascii="Times New Roman" w:hAnsi="Times New Roman" w:cs="Times New Roman"/>
          <w:sz w:val="24"/>
          <w:szCs w:val="24"/>
          <w:lang w:val="en-CA"/>
        </w:rPr>
      </w:pPr>
      <w:r w:rsidRPr="000F40F7">
        <w:rPr>
          <w:rFonts w:ascii="Times New Roman" w:hAnsi="Times New Roman" w:cs="Times New Roman"/>
          <w:sz w:val="24"/>
          <w:szCs w:val="24"/>
          <w:lang w:val="en-CA"/>
        </w:rPr>
        <w:t>Tim Bruckner, Samantha Gailey, Stacey Hallman, Marilyn Amorevieta-Gentil, Lisa Dillon et Alain Gagnon</w:t>
      </w:r>
      <w:r w:rsidR="00DA4ED3" w:rsidRPr="000F40F7">
        <w:rPr>
          <w:rFonts w:ascii="Times New Roman" w:hAnsi="Times New Roman" w:cs="Times New Roman"/>
          <w:sz w:val="24"/>
          <w:szCs w:val="24"/>
          <w:lang w:val="en-CA"/>
        </w:rPr>
        <w:t>: "Epidemic cycles and environmental pressure in colonial Quebec"</w:t>
      </w:r>
    </w:p>
    <w:p w:rsidR="009D71BD" w:rsidRPr="000F40F7" w:rsidRDefault="00330E7A" w:rsidP="009D71BD">
      <w:pPr>
        <w:pStyle w:val="ListParagraph"/>
        <w:numPr>
          <w:ilvl w:val="1"/>
          <w:numId w:val="2"/>
        </w:numPr>
        <w:tabs>
          <w:tab w:val="left" w:pos="990"/>
          <w:tab w:val="left" w:pos="1260"/>
        </w:tabs>
        <w:ind w:left="1644" w:hanging="34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Magali</w:t>
      </w:r>
      <w:r w:rsidR="009D71BD" w:rsidRPr="000F40F7">
        <w:rPr>
          <w:rFonts w:ascii="Times New Roman" w:hAnsi="Times New Roman" w:cs="Times New Roman"/>
          <w:sz w:val="24"/>
          <w:szCs w:val="24"/>
        </w:rPr>
        <w:t xml:space="preserve"> Crépin</w:t>
      </w:r>
      <w:r w:rsidR="00225D6A" w:rsidRPr="000F40F7">
        <w:rPr>
          <w:rFonts w:ascii="Times New Roman" w:hAnsi="Times New Roman" w:cs="Times New Roman"/>
          <w:sz w:val="24"/>
          <w:szCs w:val="24"/>
        </w:rPr>
        <w:t xml:space="preserve"> et</w:t>
      </w:r>
      <w:r w:rsidR="009D71BD" w:rsidRPr="000F40F7">
        <w:rPr>
          <w:rFonts w:ascii="Times New Roman" w:hAnsi="Times New Roman" w:cs="Times New Roman"/>
          <w:sz w:val="24"/>
          <w:szCs w:val="24"/>
        </w:rPr>
        <w:t xml:space="preserve"> Isabelle Ribot: "Marqueurs d'activité chez deux populations historiques de Montréal et de Beauce: possibles différences entre un style de vie urbain et rural"</w:t>
      </w:r>
    </w:p>
    <w:p w:rsidR="00DA4ED3" w:rsidRPr="000F40F7" w:rsidRDefault="00DA4ED3" w:rsidP="005850AA">
      <w:pPr>
        <w:tabs>
          <w:tab w:val="left" w:pos="990"/>
          <w:tab w:val="left" w:pos="1260"/>
        </w:tabs>
        <w:ind w:left="2610" w:hanging="2610"/>
        <w:rPr>
          <w:rFonts w:ascii="Times New Roman" w:hAnsi="Times New Roman" w:cs="Times New Roman"/>
          <w:sz w:val="24"/>
          <w:szCs w:val="24"/>
        </w:rPr>
      </w:pPr>
    </w:p>
    <w:p w:rsidR="00DA4ED3" w:rsidRPr="000F40F7" w:rsidRDefault="009D71BD" w:rsidP="005850AA">
      <w:pPr>
        <w:tabs>
          <w:tab w:val="left" w:pos="990"/>
          <w:tab w:val="left" w:pos="1260"/>
        </w:tabs>
        <w:ind w:left="2610" w:hanging="261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15h</w:t>
      </w:r>
      <w:r w:rsidR="006F5895" w:rsidRPr="000F40F7">
        <w:rPr>
          <w:rFonts w:ascii="Times New Roman" w:hAnsi="Times New Roman" w:cs="Times New Roman"/>
          <w:sz w:val="24"/>
          <w:szCs w:val="24"/>
        </w:rPr>
        <w:t>00</w:t>
      </w:r>
      <w:r w:rsidR="00DA4ED3" w:rsidRPr="000F40F7">
        <w:rPr>
          <w:rFonts w:ascii="Times New Roman" w:hAnsi="Times New Roman" w:cs="Times New Roman"/>
          <w:sz w:val="24"/>
          <w:szCs w:val="24"/>
        </w:rPr>
        <w:tab/>
      </w:r>
      <w:r w:rsidR="00DA4ED3" w:rsidRPr="000F40F7">
        <w:rPr>
          <w:rFonts w:ascii="Times New Roman" w:hAnsi="Times New Roman" w:cs="Times New Roman"/>
          <w:sz w:val="24"/>
          <w:szCs w:val="24"/>
        </w:rPr>
        <w:tab/>
        <w:t>Pause-café</w:t>
      </w:r>
    </w:p>
    <w:p w:rsidR="00DA4ED3" w:rsidRPr="000F40F7" w:rsidRDefault="00DA4ED3" w:rsidP="005850AA">
      <w:pPr>
        <w:tabs>
          <w:tab w:val="left" w:pos="990"/>
          <w:tab w:val="left" w:pos="1260"/>
        </w:tabs>
        <w:ind w:left="2610" w:hanging="2610"/>
        <w:rPr>
          <w:rFonts w:ascii="Times New Roman" w:hAnsi="Times New Roman" w:cs="Times New Roman"/>
          <w:sz w:val="24"/>
          <w:szCs w:val="24"/>
        </w:rPr>
      </w:pPr>
    </w:p>
    <w:p w:rsidR="00DA4ED3" w:rsidRDefault="009D71BD" w:rsidP="005850AA">
      <w:pPr>
        <w:tabs>
          <w:tab w:val="left" w:pos="990"/>
          <w:tab w:val="left" w:pos="1260"/>
        </w:tabs>
        <w:ind w:left="2610" w:hanging="2610"/>
        <w:rPr>
          <w:rFonts w:ascii="Times New Roman" w:hAnsi="Times New Roman" w:cs="Times New Roman"/>
          <w:b/>
          <w:color w:val="1494BC"/>
          <w:sz w:val="30"/>
          <w:szCs w:val="30"/>
        </w:rPr>
      </w:pPr>
      <w:r w:rsidRPr="000F40F7">
        <w:rPr>
          <w:rFonts w:ascii="Times New Roman" w:hAnsi="Times New Roman" w:cs="Times New Roman"/>
          <w:sz w:val="24"/>
          <w:szCs w:val="24"/>
        </w:rPr>
        <w:t>15h</w:t>
      </w:r>
      <w:r w:rsidR="00584B5B" w:rsidRPr="000F40F7">
        <w:rPr>
          <w:rFonts w:ascii="Times New Roman" w:hAnsi="Times New Roman" w:cs="Times New Roman"/>
          <w:sz w:val="24"/>
          <w:szCs w:val="24"/>
        </w:rPr>
        <w:t>30</w:t>
      </w:r>
      <w:r w:rsidRPr="000F40F7">
        <w:rPr>
          <w:rFonts w:ascii="Times New Roman" w:hAnsi="Times New Roman" w:cs="Times New Roman"/>
          <w:sz w:val="24"/>
          <w:szCs w:val="24"/>
        </w:rPr>
        <w:tab/>
      </w:r>
      <w:r w:rsidRPr="000F40F7">
        <w:rPr>
          <w:rFonts w:ascii="Times New Roman" w:hAnsi="Times New Roman" w:cs="Times New Roman"/>
          <w:sz w:val="24"/>
          <w:szCs w:val="24"/>
        </w:rPr>
        <w:tab/>
      </w:r>
      <w:r w:rsidR="00DA4ED3" w:rsidRPr="000F40F7">
        <w:rPr>
          <w:rFonts w:ascii="Times New Roman" w:hAnsi="Times New Roman" w:cs="Times New Roman"/>
          <w:b/>
          <w:color w:val="1494BC"/>
          <w:sz w:val="30"/>
          <w:szCs w:val="30"/>
        </w:rPr>
        <w:t>La démographie évolutive</w:t>
      </w:r>
    </w:p>
    <w:p w:rsidR="000F40F7" w:rsidRPr="00A304FC" w:rsidRDefault="000F40F7" w:rsidP="005850AA">
      <w:pPr>
        <w:tabs>
          <w:tab w:val="left" w:pos="990"/>
          <w:tab w:val="left" w:pos="1260"/>
        </w:tabs>
        <w:ind w:left="2610" w:hanging="26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1494BC"/>
          <w:sz w:val="30"/>
          <w:szCs w:val="30"/>
        </w:rPr>
        <w:tab/>
      </w:r>
      <w:r>
        <w:rPr>
          <w:rFonts w:ascii="Times New Roman" w:hAnsi="Times New Roman" w:cs="Times New Roman"/>
          <w:b/>
          <w:color w:val="1494BC"/>
          <w:sz w:val="30"/>
          <w:szCs w:val="30"/>
        </w:rPr>
        <w:tab/>
      </w:r>
      <w:r w:rsidRPr="00A304FC">
        <w:rPr>
          <w:rFonts w:ascii="Times New Roman" w:hAnsi="Times New Roman" w:cs="Times New Roman"/>
          <w:sz w:val="24"/>
          <w:szCs w:val="24"/>
        </w:rPr>
        <w:t>Président :  Alain Gagnon</w:t>
      </w:r>
    </w:p>
    <w:p w:rsidR="00DA4ED3" w:rsidRPr="000F40F7" w:rsidRDefault="00DA4ED3" w:rsidP="009D71BD">
      <w:pPr>
        <w:pStyle w:val="ListParagraph"/>
        <w:numPr>
          <w:ilvl w:val="1"/>
          <w:numId w:val="2"/>
        </w:numPr>
        <w:tabs>
          <w:tab w:val="left" w:pos="990"/>
          <w:tab w:val="left" w:pos="1260"/>
        </w:tabs>
        <w:ind w:left="1644" w:hanging="34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Lisa Dillon et Alain Gagnon: "L'effet grand-mère sur la fécondité et la mortalité: étude comparative historique de l'Amérique du Nord et de la Suède"</w:t>
      </w:r>
    </w:p>
    <w:p w:rsidR="00DA4ED3" w:rsidRPr="000F40F7" w:rsidRDefault="00225D6A" w:rsidP="009D71BD">
      <w:pPr>
        <w:pStyle w:val="ListParagraph"/>
        <w:numPr>
          <w:ilvl w:val="1"/>
          <w:numId w:val="2"/>
        </w:numPr>
        <w:tabs>
          <w:tab w:val="left" w:pos="990"/>
          <w:tab w:val="left" w:pos="1260"/>
        </w:tabs>
        <w:ind w:left="1644" w:hanging="34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Sacha Engelhardt, Patrick Bergeron, Alain Gagnon, Lisa Dillon et Fanie Pelletier</w:t>
      </w:r>
      <w:r w:rsidR="00DA4ED3" w:rsidRPr="000F40F7">
        <w:rPr>
          <w:rFonts w:ascii="Times New Roman" w:hAnsi="Times New Roman" w:cs="Times New Roman"/>
          <w:sz w:val="24"/>
          <w:szCs w:val="24"/>
        </w:rPr>
        <w:t>: "Post-reproductive lifespan and grand-mothering in a pre-industrial human population"</w:t>
      </w:r>
    </w:p>
    <w:p w:rsidR="00DA4ED3" w:rsidRPr="000F40F7" w:rsidRDefault="00225D6A" w:rsidP="00225D6A">
      <w:pPr>
        <w:pStyle w:val="ListParagraph"/>
        <w:numPr>
          <w:ilvl w:val="1"/>
          <w:numId w:val="2"/>
        </w:numPr>
        <w:tabs>
          <w:tab w:val="left" w:pos="990"/>
          <w:tab w:val="left" w:pos="1260"/>
        </w:tabs>
        <w:ind w:left="1644" w:hanging="34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 xml:space="preserve">Alexandra Doyon, Claudia Moreau, Damian Labuda et Emmanuel Milot : </w:t>
      </w:r>
      <w:r w:rsidR="00DA4ED3" w:rsidRPr="000F40F7">
        <w:rPr>
          <w:rFonts w:ascii="Times New Roman" w:hAnsi="Times New Roman" w:cs="Times New Roman"/>
          <w:sz w:val="24"/>
          <w:szCs w:val="24"/>
        </w:rPr>
        <w:t>"Dynamique des gènes dont la transmission dépend du sexe dans la population du Québec entre 1608 et 1960 et impacts pour la génétique forensique"</w:t>
      </w:r>
    </w:p>
    <w:p w:rsidR="009D71BD" w:rsidRPr="000F40F7" w:rsidRDefault="00DA4ED3" w:rsidP="009D71BD">
      <w:pPr>
        <w:pStyle w:val="ListParagraph"/>
        <w:numPr>
          <w:ilvl w:val="1"/>
          <w:numId w:val="2"/>
        </w:numPr>
        <w:tabs>
          <w:tab w:val="left" w:pos="990"/>
          <w:tab w:val="left" w:pos="1260"/>
        </w:tabs>
        <w:ind w:left="1644" w:hanging="34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Emmanuel Milot: "La sélection naturelle et l'adaptation dans les populations humaines contemporaines: ce que nous apprennent les registres de population du Québec"</w:t>
      </w:r>
    </w:p>
    <w:p w:rsidR="00DA4ED3" w:rsidRPr="000F40F7" w:rsidRDefault="00225D6A" w:rsidP="00711712">
      <w:pPr>
        <w:pStyle w:val="ListParagraph"/>
        <w:numPr>
          <w:ilvl w:val="1"/>
          <w:numId w:val="2"/>
        </w:numPr>
        <w:tabs>
          <w:tab w:val="left" w:pos="990"/>
          <w:tab w:val="left" w:pos="1260"/>
        </w:tabs>
        <w:ind w:left="1644" w:hanging="340"/>
        <w:rPr>
          <w:rFonts w:ascii="Times New Roman" w:hAnsi="Times New Roman" w:cs="Times New Roman"/>
          <w:sz w:val="24"/>
          <w:szCs w:val="24"/>
        </w:rPr>
      </w:pPr>
      <w:r w:rsidRPr="000F40F7">
        <w:rPr>
          <w:rFonts w:ascii="Times New Roman" w:hAnsi="Times New Roman" w:cs="Times New Roman"/>
          <w:sz w:val="24"/>
          <w:szCs w:val="24"/>
        </w:rPr>
        <w:t>Fanie Pelletier, Gabriel Pigeon, Patrick Bergeron, Francine M. Mayer, Mireille Boisvert, Denis Réale and Emmanuel Milot</w:t>
      </w:r>
      <w:r w:rsidR="00DA4ED3" w:rsidRPr="000F40F7">
        <w:rPr>
          <w:rFonts w:ascii="Times New Roman" w:hAnsi="Times New Roman" w:cs="Times New Roman"/>
          <w:sz w:val="24"/>
          <w:szCs w:val="24"/>
        </w:rPr>
        <w:t>: "Eco-evolutionary dynamics in a contemporary human population"</w:t>
      </w:r>
    </w:p>
    <w:p w:rsidR="00DA4ED3" w:rsidRPr="000F40F7" w:rsidRDefault="00DA4ED3" w:rsidP="005850AA">
      <w:pPr>
        <w:tabs>
          <w:tab w:val="left" w:pos="990"/>
          <w:tab w:val="left" w:pos="1260"/>
        </w:tabs>
        <w:ind w:left="2610" w:hanging="2610"/>
        <w:rPr>
          <w:rFonts w:ascii="Times New Roman" w:hAnsi="Times New Roman" w:cs="Times New Roman"/>
          <w:sz w:val="24"/>
          <w:szCs w:val="24"/>
        </w:rPr>
      </w:pPr>
    </w:p>
    <w:sectPr w:rsidR="00DA4ED3" w:rsidRPr="000F40F7" w:rsidSect="00A304FC">
      <w:pgSz w:w="12240" w:h="15840" w:code="1"/>
      <w:pgMar w:top="720" w:right="720" w:bottom="720" w:left="720" w:header="0" w:footer="0" w:gutter="0"/>
      <w:pgBorders w:offsetFrom="page">
        <w:top w:val="thickThinSmallGap" w:sz="24" w:space="24" w:color="706760"/>
        <w:left w:val="thickThinSmallGap" w:sz="24" w:space="24" w:color="706760"/>
        <w:bottom w:val="thinThickSmallGap" w:sz="24" w:space="24" w:color="706760"/>
        <w:right w:val="thinThickSmallGap" w:sz="24" w:space="24" w:color="7067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243D9D"/>
    <w:multiLevelType w:val="hybridMultilevel"/>
    <w:tmpl w:val="BBFC3FB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361E2A"/>
    <w:multiLevelType w:val="hybridMultilevel"/>
    <w:tmpl w:val="DF08B58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801"/>
    <w:rsid w:val="00046FBC"/>
    <w:rsid w:val="00081240"/>
    <w:rsid w:val="000F06E2"/>
    <w:rsid w:val="000F40F7"/>
    <w:rsid w:val="00101576"/>
    <w:rsid w:val="00220B07"/>
    <w:rsid w:val="00225D6A"/>
    <w:rsid w:val="0031294F"/>
    <w:rsid w:val="00330E7A"/>
    <w:rsid w:val="0037368B"/>
    <w:rsid w:val="003A0D7B"/>
    <w:rsid w:val="00456C41"/>
    <w:rsid w:val="004E5B7F"/>
    <w:rsid w:val="00526853"/>
    <w:rsid w:val="00533230"/>
    <w:rsid w:val="00565A53"/>
    <w:rsid w:val="00584B5B"/>
    <w:rsid w:val="005850AA"/>
    <w:rsid w:val="006F5895"/>
    <w:rsid w:val="00752801"/>
    <w:rsid w:val="007B0581"/>
    <w:rsid w:val="009158FF"/>
    <w:rsid w:val="009D71BD"/>
    <w:rsid w:val="00A0000F"/>
    <w:rsid w:val="00A108B5"/>
    <w:rsid w:val="00A304FC"/>
    <w:rsid w:val="00A45E5C"/>
    <w:rsid w:val="00AA7CE9"/>
    <w:rsid w:val="00B31911"/>
    <w:rsid w:val="00B77479"/>
    <w:rsid w:val="00C02ACF"/>
    <w:rsid w:val="00D8772D"/>
    <w:rsid w:val="00DA4ED3"/>
    <w:rsid w:val="00E00828"/>
    <w:rsid w:val="00E44A4C"/>
    <w:rsid w:val="00EA1156"/>
    <w:rsid w:val="00EF69B0"/>
    <w:rsid w:val="00F4225B"/>
    <w:rsid w:val="00F5360F"/>
    <w:rsid w:val="00F81FE7"/>
    <w:rsid w:val="00FE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C01EDC-3692-4ADA-B031-CBFF8534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0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71BD"/>
    <w:pPr>
      <w:ind w:left="720"/>
      <w:contextualSpacing/>
    </w:pPr>
  </w:style>
  <w:style w:type="paragraph" w:customStyle="1" w:styleId="Default">
    <w:name w:val="Default"/>
    <w:rsid w:val="00101576"/>
    <w:pPr>
      <w:autoSpaceDE w:val="0"/>
      <w:autoSpaceDN w:val="0"/>
      <w:adjustRightInd w:val="0"/>
    </w:pPr>
    <w:rPr>
      <w:rFonts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0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77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pulent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pulent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pulent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6775C-51AC-48B2-8C63-9B7D47559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602</Words>
  <Characters>3434</Characters>
  <Application>Microsoft Office Word</Application>
  <DocSecurity>4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Université de Montréal</Company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Côté Micheline</dc:creator>
  <cp:lastModifiedBy>Marja Koster</cp:lastModifiedBy>
  <cp:revision>2</cp:revision>
  <dcterms:created xsi:type="dcterms:W3CDTF">2017-05-11T07:13:00Z</dcterms:created>
  <dcterms:modified xsi:type="dcterms:W3CDTF">2017-05-11T07:13:00Z</dcterms:modified>
</cp:coreProperties>
</file>